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1 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354-п</w:t>
      </w:r>
      <w:bookmarkStart w:id="0" w:name="_GoBack"/>
      <w:bookmarkEnd w:id="0"/>
    </w:p>
    <w:p>
      <w:pPr>
        <w:tabs>
          <w:tab w:val="left" w:pos="2130"/>
        </w:tabs>
        <w:jc w:val="right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right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right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Л О Ж Е Н И Е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порядке работы комиссии по проверке комплексной 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безопасности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образовательных организаций Тазовского района 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 круглосуточным пребыванием детей</w:t>
      </w:r>
    </w:p>
    <w:p>
      <w:pPr>
        <w:tabs>
          <w:tab w:val="left" w:pos="2130"/>
        </w:tabs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9"/>
        <w:numPr>
          <w:ilvl w:val="0"/>
          <w:numId w:val="12"/>
        </w:numPr>
        <w:tabs>
          <w:tab w:val="left" w:pos="142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Положение о порядке работы комиссии по проверке комплексной безопасности образовательных организаций Тазовского района                             с круглосуточным пребыванием детей (далее – Положение, Комиссия) устанавливает порядок осуществления проверки состояния антитеррористической, противопожарной, санитарно-эпидемиологической безопасности в школах-интернатах Тазовского района.</w:t>
      </w:r>
    </w:p>
    <w:p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0"/>
          <w:numId w:val="12"/>
        </w:numPr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Задачи Комиссии по проверке комплексной </w:t>
      </w:r>
    </w:p>
    <w:p>
      <w:pPr>
        <w:pStyle w:val="ConsPlusNormal"/>
        <w:ind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безопасности образовательных организаций Тазовского района </w:t>
      </w:r>
    </w:p>
    <w:p>
      <w:pPr>
        <w:pStyle w:val="ConsPlusNormal"/>
        <w:ind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с круглосуточным пребыванием детей</w:t>
      </w:r>
    </w:p>
    <w:p>
      <w:pPr>
        <w:pStyle w:val="ConsPlusNormal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>
      <w:pPr>
        <w:pStyle w:val="ConsPlusNormal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Основной задачей Комиссии является проверка состояния комплексной безопасности:</w:t>
      </w:r>
    </w:p>
    <w:p>
      <w:pPr>
        <w:pStyle w:val="ConsPlusNormal"/>
        <w:numPr>
          <w:ilvl w:val="2"/>
          <w:numId w:val="3"/>
        </w:numPr>
        <w:tabs>
          <w:tab w:val="left" w:pos="709"/>
          <w:tab w:val="left" w:pos="1560"/>
        </w:tabs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в части выполнения противопожарных требований: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приказа о назначении должностных лиц, ответственных                    за противопожарное состояние;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планов эвакуации;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уголков пожарной безопасности;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работоспособной автоматической пожарной сигнализации  (далее - АПС) и средств оповещения, договор на техническое обслуживание АПС;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огнезащитная обработка чердачных перекрытий;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мероприятий по очистке приточно-вытяжной вентиляции;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укомплектованность пожарного щита;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доводчиков на дверях;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аварийных источников освещения;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соответствие зданий противопожарным требованиям;</w:t>
      </w:r>
    </w:p>
    <w:p>
      <w:pPr>
        <w:pStyle w:val="a9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состояние путей эвакуации;</w:t>
      </w:r>
    </w:p>
    <w:p>
      <w:pPr>
        <w:pStyle w:val="a9"/>
        <w:numPr>
          <w:ilvl w:val="2"/>
          <w:numId w:val="3"/>
        </w:numPr>
        <w:tabs>
          <w:tab w:val="left" w:pos="1560"/>
        </w:tabs>
        <w:ind w:left="-142" w:firstLine="85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антитеррористической защищенности: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наличие уголков, стендов по антитеррористической защищенности;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кнопки экстренного вызова;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системы видеонаблюдения;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периметрального ограждения и его целостности;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освещенности территории;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телефонной связи;</w:t>
      </w:r>
    </w:p>
    <w:p>
      <w:pPr>
        <w:pStyle w:val="a9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паспорта антитеррористической защищенности;</w:t>
      </w:r>
    </w:p>
    <w:p>
      <w:pPr>
        <w:pStyle w:val="a9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выполнения санитарно-гигиенических требований: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соответствие помещений санитарно-гигиеническим требованиям;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медицинских книжек у работников;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санитарное состояние пищеблока;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договор на сбор, транспортировку и утилизацию ТКО, ЖБО;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состояние столового, технологического, холодильного оборудования;</w:t>
      </w:r>
    </w:p>
    <w:p>
      <w:pPr>
        <w:pStyle w:val="a9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состояние вентиляции, отопления, кондиционирования воздуха, водоснабжения, водоотведения, естественного и искусственного освещения;</w:t>
      </w:r>
    </w:p>
    <w:p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примерное 14, 21-дневное меню;</w:t>
      </w:r>
    </w:p>
    <w:p>
      <w:pPr>
        <w:pStyle w:val="a9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выполнения требований дорожного надзора:</w:t>
      </w:r>
    </w:p>
    <w:p>
      <w:pPr>
        <w:pStyle w:val="a9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паспорта дорожной безопасности образовательной организации;</w:t>
      </w:r>
    </w:p>
    <w:p>
      <w:pPr>
        <w:pStyle w:val="a9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схема дом – образовательная организация – дом;</w:t>
      </w:r>
    </w:p>
    <w:p>
      <w:pPr>
        <w:pStyle w:val="a9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уголков, стендов по безопасности дорожного движения;</w:t>
      </w:r>
    </w:p>
    <w:p>
      <w:pPr>
        <w:pStyle w:val="a9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акта обследования состояния обучения несовершеннолетних правилам безопасного поведения на дорогах;</w:t>
      </w:r>
    </w:p>
    <w:p>
      <w:pPr>
        <w:pStyle w:val="a9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школьных перевозок.</w:t>
      </w:r>
    </w:p>
    <w:p>
      <w:pPr>
        <w:rPr>
          <w:rFonts w:ascii="PT Astra Serif" w:hAnsi="PT Astra Serif"/>
          <w:b/>
          <w:sz w:val="28"/>
          <w:szCs w:val="28"/>
        </w:rPr>
      </w:pPr>
    </w:p>
    <w:p>
      <w:pPr>
        <w:pStyle w:val="a9"/>
        <w:numPr>
          <w:ilvl w:val="0"/>
          <w:numId w:val="9"/>
        </w:numPr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Заседания Комиссии</w:t>
      </w:r>
    </w:p>
    <w:p>
      <w:pPr>
        <w:rPr>
          <w:rFonts w:ascii="PT Astra Serif" w:hAnsi="PT Astra Serif"/>
          <w:color w:val="000000"/>
          <w:sz w:val="28"/>
          <w:szCs w:val="28"/>
        </w:rPr>
      </w:pP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Заседания Комиссии проводятся согласно графику проведения проверки комплексной безопасности образовательных организаций                   Тазовского района с круглосуточным пребыванием детей.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Заседание Комиссии считается правомочным, если на нем присутствует не менее половины ее членов.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Решения на заседаниях Комиссии принимаются по вопросам, включенным в повестку дня.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Комиссия принимает решение путем выражения общего согласия              по рассматриваемому вопросу.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Решение считается принятым, если за него высказались                                или проголосовали большинство присутствующих членов Комиссии.                          При равенстве голосов решающее значение имеет голос председателя Комиссии.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Заседания Комиссии оформляются актом.</w:t>
      </w:r>
    </w:p>
    <w:p>
      <w:pPr>
        <w:numPr>
          <w:ilvl w:val="1"/>
          <w:numId w:val="9"/>
        </w:numPr>
        <w:tabs>
          <w:tab w:val="left" w:pos="720"/>
          <w:tab w:val="left" w:pos="1276"/>
        </w:tabs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Решения Комиссии подписываются председателем Комиссии, заместителем председателя Комиссии, секретарем Комиссии и членами Комиссии.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Акты Комиссии оформляются и выдаются руководителям</w:t>
      </w:r>
      <w:r>
        <w:rPr>
          <w:rFonts w:ascii="PT Astra Serif" w:hAnsi="PT Astra Serif"/>
          <w:sz w:val="28"/>
          <w:szCs w:val="28"/>
        </w:rPr>
        <w:t xml:space="preserve"> организаций в течении 3-х дней после осуществлении проверки в организации.</w:t>
      </w:r>
    </w:p>
    <w:p>
      <w:pPr>
        <w:pStyle w:val="a9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состав Комиссии входят представители Администрации Тазовского района и государственных органов надзора (контроля). Председателем Комиссии является заместитель Главы Администрации Тазовского района. В период временного отсутствия (отпуск, временная нетрудоспособность, командировка и т.п.) обязанности и полномочия председателя Комиссии исполняет заместитель председателя Комиссии.                       В период временного отсутствия (отпуск, временная нетрудоспособность, командировка и т.п.) обязанности и полномочия секретаря и членов                      Комиссии исполняют лица, замещающие их по основному месту работы                           или по должности.</w:t>
      </w:r>
    </w:p>
    <w:p>
      <w:pPr>
        <w:pStyle w:val="a9"/>
        <w:numPr>
          <w:ilvl w:val="1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Состав Комиссии утверждается правовым актом Администрации Тазовского района.</w:t>
      </w:r>
    </w:p>
    <w:p>
      <w:pPr>
        <w:pStyle w:val="a9"/>
        <w:numPr>
          <w:ilvl w:val="1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Комиссия:</w:t>
      </w:r>
    </w:p>
    <w:p>
      <w:pPr>
        <w:pStyle w:val="a9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дает оценку состояния </w:t>
      </w:r>
      <w:r>
        <w:rPr>
          <w:rFonts w:ascii="PT Astra Serif" w:hAnsi="PT Astra Serif"/>
          <w:spacing w:val="-20"/>
          <w:sz w:val="28"/>
          <w:szCs w:val="28"/>
        </w:rPr>
        <w:t>комплексной безопасности</w:t>
      </w:r>
      <w:r>
        <w:rPr>
          <w:rFonts w:ascii="PT Astra Serif" w:hAnsi="PT Astra Serif"/>
          <w:sz w:val="28"/>
          <w:szCs w:val="28"/>
        </w:rPr>
        <w:t xml:space="preserve"> в  образовательной организации;</w:t>
      </w:r>
    </w:p>
    <w:p>
      <w:pPr>
        <w:pStyle w:val="a9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рассматривает обоснованность возражений отдельных членов Комиссии и принимает по ним решения;</w:t>
      </w:r>
    </w:p>
    <w:p>
      <w:pPr>
        <w:pStyle w:val="a9"/>
        <w:numPr>
          <w:ilvl w:val="2"/>
          <w:numId w:val="9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принимает решения об утверждении актов проверки.</w:t>
      </w:r>
    </w:p>
    <w:p>
      <w:pPr>
        <w:pStyle w:val="a9"/>
        <w:numPr>
          <w:ilvl w:val="1"/>
          <w:numId w:val="9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Полномочия Комиссии прекращаются с момента издания итогового приказа по результатам проверки комплексной безопасности образовательных организаций Тазовского района с круглосуточным пребыванием детей, с подписью ответственных лиц.</w:t>
      </w:r>
    </w:p>
    <w:p>
      <w:pPr>
        <w:pStyle w:val="ConsPlusNormal"/>
        <w:ind w:firstLine="0"/>
        <w:rPr>
          <w:rFonts w:ascii="PT Astra Serif" w:hAnsi="PT Astra Serif"/>
          <w:b/>
          <w:bCs/>
          <w:sz w:val="28"/>
          <w:szCs w:val="28"/>
        </w:rPr>
      </w:pPr>
    </w:p>
    <w:p>
      <w:pPr>
        <w:pStyle w:val="ConsPlusNormal"/>
        <w:numPr>
          <w:ilvl w:val="0"/>
          <w:numId w:val="9"/>
        </w:numPr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Ответственность должностных лиц</w:t>
      </w:r>
    </w:p>
    <w:p>
      <w:pPr>
        <w:pStyle w:val="ConsPlusNormal"/>
        <w:ind w:firstLine="0"/>
        <w:jc w:val="center"/>
        <w:rPr>
          <w:rFonts w:ascii="PT Astra Serif" w:hAnsi="PT Astra Serif"/>
          <w:bCs/>
          <w:sz w:val="28"/>
          <w:szCs w:val="28"/>
        </w:rPr>
      </w:pPr>
    </w:p>
    <w:p>
      <w:pPr>
        <w:pStyle w:val="ConsPlusNormal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Руководители организаций несут ответственность за состояние комплексной безопасности объектов образования в соответствии                                       с действующим законодательством. </w:t>
      </w:r>
    </w:p>
    <w:sectPr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57963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5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83DC2"/>
    <w:multiLevelType w:val="hybridMultilevel"/>
    <w:tmpl w:val="DB528DC0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0F0355"/>
    <w:multiLevelType w:val="multilevel"/>
    <w:tmpl w:val="23C21F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">
    <w:nsid w:val="1FDA1486"/>
    <w:multiLevelType w:val="hybridMultilevel"/>
    <w:tmpl w:val="F3CA2CE4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441957"/>
    <w:multiLevelType w:val="hybridMultilevel"/>
    <w:tmpl w:val="B32295DC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0C69FF"/>
    <w:multiLevelType w:val="multilevel"/>
    <w:tmpl w:val="F8186AC4"/>
    <w:lvl w:ilvl="0">
      <w:start w:val="3"/>
      <w:numFmt w:val="upperRoman"/>
      <w:lvlText w:val="%1."/>
      <w:lvlJc w:val="left"/>
      <w:pPr>
        <w:ind w:left="117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2" w:hanging="2160"/>
      </w:pPr>
      <w:rPr>
        <w:rFonts w:hint="default"/>
      </w:rPr>
    </w:lvl>
  </w:abstractNum>
  <w:abstractNum w:abstractNumId="5">
    <w:nsid w:val="3CCD3535"/>
    <w:multiLevelType w:val="multilevel"/>
    <w:tmpl w:val="F8186AC4"/>
    <w:lvl w:ilvl="0">
      <w:start w:val="3"/>
      <w:numFmt w:val="upperRoman"/>
      <w:lvlText w:val="%1."/>
      <w:lvlJc w:val="left"/>
      <w:pPr>
        <w:ind w:left="117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2" w:hanging="2160"/>
      </w:pPr>
      <w:rPr>
        <w:rFonts w:hint="default"/>
      </w:rPr>
    </w:lvl>
  </w:abstractNum>
  <w:abstractNum w:abstractNumId="6">
    <w:nsid w:val="462823F3"/>
    <w:multiLevelType w:val="hybridMultilevel"/>
    <w:tmpl w:val="A692BD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8C57724"/>
    <w:multiLevelType w:val="multilevel"/>
    <w:tmpl w:val="24C6025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24B85"/>
    <w:multiLevelType w:val="hybridMultilevel"/>
    <w:tmpl w:val="AE00B5E8"/>
    <w:lvl w:ilvl="0" w:tplc="00983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288970">
      <w:numFmt w:val="none"/>
      <w:lvlText w:val=""/>
      <w:lvlJc w:val="left"/>
      <w:pPr>
        <w:tabs>
          <w:tab w:val="num" w:pos="360"/>
        </w:tabs>
      </w:pPr>
    </w:lvl>
    <w:lvl w:ilvl="2" w:tplc="07D4CBB0">
      <w:numFmt w:val="none"/>
      <w:lvlText w:val=""/>
      <w:lvlJc w:val="left"/>
      <w:pPr>
        <w:tabs>
          <w:tab w:val="num" w:pos="360"/>
        </w:tabs>
      </w:pPr>
    </w:lvl>
    <w:lvl w:ilvl="3" w:tplc="9698DD1C">
      <w:numFmt w:val="none"/>
      <w:lvlText w:val=""/>
      <w:lvlJc w:val="left"/>
      <w:pPr>
        <w:tabs>
          <w:tab w:val="num" w:pos="360"/>
        </w:tabs>
      </w:pPr>
    </w:lvl>
    <w:lvl w:ilvl="4" w:tplc="3E24709E">
      <w:numFmt w:val="none"/>
      <w:lvlText w:val=""/>
      <w:lvlJc w:val="left"/>
      <w:pPr>
        <w:tabs>
          <w:tab w:val="num" w:pos="360"/>
        </w:tabs>
      </w:pPr>
    </w:lvl>
    <w:lvl w:ilvl="5" w:tplc="FF3EAB4E">
      <w:numFmt w:val="none"/>
      <w:lvlText w:val=""/>
      <w:lvlJc w:val="left"/>
      <w:pPr>
        <w:tabs>
          <w:tab w:val="num" w:pos="360"/>
        </w:tabs>
      </w:pPr>
    </w:lvl>
    <w:lvl w:ilvl="6" w:tplc="774C1CE8">
      <w:numFmt w:val="none"/>
      <w:lvlText w:val=""/>
      <w:lvlJc w:val="left"/>
      <w:pPr>
        <w:tabs>
          <w:tab w:val="num" w:pos="360"/>
        </w:tabs>
      </w:pPr>
    </w:lvl>
    <w:lvl w:ilvl="7" w:tplc="797635BC">
      <w:numFmt w:val="none"/>
      <w:lvlText w:val=""/>
      <w:lvlJc w:val="left"/>
      <w:pPr>
        <w:tabs>
          <w:tab w:val="num" w:pos="360"/>
        </w:tabs>
      </w:pPr>
    </w:lvl>
    <w:lvl w:ilvl="8" w:tplc="E1DC747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CC30F6C"/>
    <w:multiLevelType w:val="multilevel"/>
    <w:tmpl w:val="23C21F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0">
    <w:nsid w:val="644A31D6"/>
    <w:multiLevelType w:val="hybridMultilevel"/>
    <w:tmpl w:val="34FC0840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8578C5"/>
    <w:multiLevelType w:val="hybridMultilevel"/>
    <w:tmpl w:val="24C60250"/>
    <w:lvl w:ilvl="0" w:tplc="9F18C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67EAA"/>
    <w:multiLevelType w:val="hybridMultilevel"/>
    <w:tmpl w:val="2902A282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9"/>
  </w:num>
  <w:num w:numId="6">
    <w:abstractNumId w:val="10"/>
  </w:num>
  <w:num w:numId="7">
    <w:abstractNumId w:val="12"/>
  </w:num>
  <w:num w:numId="8">
    <w:abstractNumId w:val="3"/>
  </w:num>
  <w:num w:numId="9">
    <w:abstractNumId w:val="5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76B10-02C8-4EA0-938A-A4E303D4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C52D3-4172-43DD-923B-87786E2B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Гужова</dc:creator>
  <cp:lastModifiedBy>Фадеева Алена Михайловна</cp:lastModifiedBy>
  <cp:revision>10</cp:revision>
  <cp:lastPrinted>2021-04-22T06:27:00Z</cp:lastPrinted>
  <dcterms:created xsi:type="dcterms:W3CDTF">2021-04-16T06:13:00Z</dcterms:created>
  <dcterms:modified xsi:type="dcterms:W3CDTF">2021-04-22T06:27:00Z</dcterms:modified>
</cp:coreProperties>
</file>